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A3829" w:rsidRDefault="007A3829" w:rsidP="007A3829">
      <w:pPr>
        <w:ind w:left="360"/>
      </w:pPr>
      <w:r>
        <w:t xml:space="preserve">CHAPTER </w:t>
      </w:r>
      <w:r w:rsidR="00D541A1">
        <w:t>FIVE</w:t>
      </w:r>
      <w:bookmarkStart w:id="0" w:name="_GoBack"/>
      <w:bookmarkEnd w:id="0"/>
    </w:p>
    <w:p w:rsidR="007A3829" w:rsidRDefault="007A3829" w:rsidP="007A3829">
      <w:pPr>
        <w:ind w:left="360"/>
      </w:pPr>
      <w:r>
        <w:t xml:space="preserve">Case Questions </w:t>
      </w:r>
      <w:r w:rsidRPr="00B216A6">
        <w:rPr>
          <w:i/>
        </w:rPr>
        <w:t>(see corresponding Chapter 5 case Excel spreadsheet</w:t>
      </w:r>
      <w:r>
        <w:t>)</w:t>
      </w:r>
    </w:p>
    <w:p w:rsidR="007A3829" w:rsidRDefault="007A3829" w:rsidP="007A3829">
      <w:pPr>
        <w:ind w:left="360"/>
      </w:pPr>
    </w:p>
    <w:p w:rsidR="007A3829" w:rsidRDefault="00017FF9" w:rsidP="00017FF9">
      <w:pPr>
        <w:numPr>
          <w:ilvl w:val="0"/>
          <w:numId w:val="3"/>
        </w:numPr>
        <w:autoSpaceDE w:val="0"/>
        <w:autoSpaceDN w:val="0"/>
        <w:adjustRightInd w:val="0"/>
      </w:pPr>
      <w:r w:rsidRPr="00017FF9">
        <w:t>What is the annual cost if Lightning uses the current network</w:t>
      </w:r>
      <w:r w:rsidR="00E56277">
        <w:t xml:space="preserve"> </w:t>
      </w:r>
      <w:r w:rsidRPr="00017FF9">
        <w:t>(with warehouses specialized as in Table 5-17) optimally</w:t>
      </w:r>
      <w:r w:rsidR="00E56277">
        <w:t xml:space="preserve"> </w:t>
      </w:r>
      <w:r w:rsidRPr="00017FF9">
        <w:t>to meet European demand?</w:t>
      </w:r>
    </w:p>
    <w:p w:rsidR="00017FF9" w:rsidRDefault="00017FF9" w:rsidP="00017FF9">
      <w:pPr>
        <w:autoSpaceDE w:val="0"/>
        <w:autoSpaceDN w:val="0"/>
        <w:adjustRightInd w:val="0"/>
      </w:pPr>
    </w:p>
    <w:p w:rsidR="00017FF9" w:rsidRDefault="00017FF9" w:rsidP="00017FF9">
      <w:pPr>
        <w:autoSpaceDE w:val="0"/>
        <w:autoSpaceDN w:val="0"/>
        <w:adjustRightInd w:val="0"/>
        <w:ind w:left="360"/>
      </w:pPr>
      <w:r>
        <w:t xml:space="preserve">The distribution quantities and costs with specialized warehouses </w:t>
      </w:r>
      <w:r w:rsidR="00EA4031">
        <w:t>are</w:t>
      </w:r>
      <w:r>
        <w:t xml:space="preserve"> as shown below (see spreadsheet </w:t>
      </w:r>
      <w:r>
        <w:rPr>
          <w:i/>
        </w:rPr>
        <w:t>Lightning</w:t>
      </w:r>
      <w:r>
        <w:t xml:space="preserve">, worksheet </w:t>
      </w:r>
      <w:r>
        <w:rPr>
          <w:i/>
        </w:rPr>
        <w:t>Optimal Current</w:t>
      </w:r>
      <w:r>
        <w:t>)</w:t>
      </w:r>
      <w:r w:rsidR="00EA4031">
        <w:t>:</w:t>
      </w:r>
    </w:p>
    <w:p w:rsidR="00017FF9" w:rsidRDefault="00017FF9" w:rsidP="00017FF9">
      <w:pPr>
        <w:autoSpaceDE w:val="0"/>
        <w:autoSpaceDN w:val="0"/>
        <w:adjustRightInd w:val="0"/>
        <w:ind w:left="360"/>
      </w:pPr>
    </w:p>
    <w:p w:rsidR="00017FF9" w:rsidRDefault="00EB07DB" w:rsidP="00017FF9">
      <w:pPr>
        <w:autoSpaceDE w:val="0"/>
        <w:autoSpaceDN w:val="0"/>
        <w:adjustRightInd w:val="0"/>
        <w:ind w:left="360"/>
      </w:pPr>
      <w:r w:rsidRPr="00EB07DB">
        <w:rPr>
          <w:noProof/>
        </w:rPr>
        <w:drawing>
          <wp:inline distT="0" distB="0" distL="0" distR="0">
            <wp:extent cx="5486400" cy="425640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print"/>
                    <a:stretch>
                      <a:fillRect/>
                    </a:stretch>
                  </pic:blipFill>
                  <pic:spPr>
                    <a:xfrm>
                      <a:off x="0" y="0"/>
                      <a:ext cx="5486400" cy="4256405"/>
                    </a:xfrm>
                    <a:prstGeom prst="rect">
                      <a:avLst/>
                    </a:prstGeom>
                  </pic:spPr>
                </pic:pic>
              </a:graphicData>
            </a:graphic>
          </wp:inline>
        </w:drawing>
      </w:r>
    </w:p>
    <w:p w:rsidR="00017FF9" w:rsidRDefault="00017FF9" w:rsidP="00017FF9">
      <w:pPr>
        <w:autoSpaceDE w:val="0"/>
        <w:autoSpaceDN w:val="0"/>
        <w:adjustRightInd w:val="0"/>
        <w:ind w:left="360"/>
      </w:pPr>
    </w:p>
    <w:p w:rsidR="00017FF9" w:rsidRDefault="0004538B" w:rsidP="00017FF9">
      <w:pPr>
        <w:numPr>
          <w:ilvl w:val="0"/>
          <w:numId w:val="3"/>
        </w:numPr>
        <w:autoSpaceDE w:val="0"/>
        <w:autoSpaceDN w:val="0"/>
        <w:adjustRightInd w:val="0"/>
      </w:pPr>
      <w:r>
        <w:br w:type="page"/>
      </w:r>
      <w:r w:rsidR="00017FF9">
        <w:lastRenderedPageBreak/>
        <w:t>Should Simone make all warehouses flexible given the additional cost of 200,000 euro per year?</w:t>
      </w:r>
    </w:p>
    <w:p w:rsidR="00017FF9" w:rsidRDefault="00017FF9" w:rsidP="00017FF9">
      <w:pPr>
        <w:autoSpaceDE w:val="0"/>
        <w:autoSpaceDN w:val="0"/>
        <w:adjustRightInd w:val="0"/>
      </w:pPr>
    </w:p>
    <w:p w:rsidR="00017FF9" w:rsidRDefault="00017FF9" w:rsidP="00017FF9">
      <w:pPr>
        <w:autoSpaceDE w:val="0"/>
        <w:autoSpaceDN w:val="0"/>
        <w:adjustRightInd w:val="0"/>
        <w:ind w:left="360"/>
      </w:pPr>
      <w:r>
        <w:t xml:space="preserve">All warehouses being flexible lowers the total annual cost despite the additional cost of flexibility as shown below (see worksheet </w:t>
      </w:r>
      <w:r>
        <w:rPr>
          <w:i/>
        </w:rPr>
        <w:t>Optimal Flexible</w:t>
      </w:r>
      <w:r>
        <w:t>):</w:t>
      </w:r>
    </w:p>
    <w:p w:rsidR="00017FF9" w:rsidRDefault="00017FF9" w:rsidP="00017FF9">
      <w:pPr>
        <w:autoSpaceDE w:val="0"/>
        <w:autoSpaceDN w:val="0"/>
        <w:adjustRightInd w:val="0"/>
        <w:ind w:left="360"/>
      </w:pPr>
    </w:p>
    <w:p w:rsidR="00017FF9" w:rsidRDefault="00EB07DB" w:rsidP="00017FF9">
      <w:pPr>
        <w:autoSpaceDE w:val="0"/>
        <w:autoSpaceDN w:val="0"/>
        <w:adjustRightInd w:val="0"/>
        <w:ind w:left="360"/>
      </w:pPr>
      <w:r w:rsidRPr="00EB07DB">
        <w:rPr>
          <w:noProof/>
        </w:rPr>
        <w:drawing>
          <wp:inline distT="0" distB="0" distL="0" distR="0">
            <wp:extent cx="5486400" cy="4251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486400" cy="4251325"/>
                    </a:xfrm>
                    <a:prstGeom prst="rect">
                      <a:avLst/>
                    </a:prstGeom>
                  </pic:spPr>
                </pic:pic>
              </a:graphicData>
            </a:graphic>
          </wp:inline>
        </w:drawing>
      </w:r>
    </w:p>
    <w:p w:rsidR="00017FF9" w:rsidRDefault="00017FF9" w:rsidP="00017FF9">
      <w:pPr>
        <w:autoSpaceDE w:val="0"/>
        <w:autoSpaceDN w:val="0"/>
        <w:adjustRightInd w:val="0"/>
        <w:ind w:left="360"/>
      </w:pPr>
    </w:p>
    <w:p w:rsidR="008A2356" w:rsidRDefault="0004538B" w:rsidP="008A2356">
      <w:pPr>
        <w:numPr>
          <w:ilvl w:val="0"/>
          <w:numId w:val="3"/>
        </w:numPr>
        <w:autoSpaceDE w:val="0"/>
        <w:autoSpaceDN w:val="0"/>
        <w:adjustRightInd w:val="0"/>
      </w:pPr>
      <w:r>
        <w:br w:type="page"/>
      </w:r>
      <w:r w:rsidR="008A2356">
        <w:lastRenderedPageBreak/>
        <w:t>What supply chain network do you recommend for the long term if demand is as in Table 5-16? Should any warehouses be closed? Should any warehouses see their capacity doubled?</w:t>
      </w:r>
    </w:p>
    <w:p w:rsidR="008A2356" w:rsidRDefault="008A2356" w:rsidP="008A2356">
      <w:pPr>
        <w:autoSpaceDE w:val="0"/>
        <w:autoSpaceDN w:val="0"/>
        <w:adjustRightInd w:val="0"/>
        <w:ind w:left="360"/>
      </w:pPr>
    </w:p>
    <w:p w:rsidR="008A2356" w:rsidRDefault="008A2356" w:rsidP="008A2356">
      <w:pPr>
        <w:autoSpaceDE w:val="0"/>
        <w:autoSpaceDN w:val="0"/>
        <w:adjustRightInd w:val="0"/>
        <w:ind w:left="360"/>
      </w:pPr>
      <w:r>
        <w:t xml:space="preserve">It is optimal to close Madrid and Munich and double the capacity of Toulouse as shown in worksheet </w:t>
      </w:r>
      <w:r>
        <w:rPr>
          <w:i/>
        </w:rPr>
        <w:t>Change capacity</w:t>
      </w:r>
      <w:r>
        <w:t>. We assume that all warehouses have been made flexible.</w:t>
      </w:r>
    </w:p>
    <w:p w:rsidR="008A2356" w:rsidRDefault="008A2356" w:rsidP="008A2356">
      <w:pPr>
        <w:autoSpaceDE w:val="0"/>
        <w:autoSpaceDN w:val="0"/>
        <w:adjustRightInd w:val="0"/>
        <w:ind w:left="360"/>
      </w:pPr>
    </w:p>
    <w:p w:rsidR="008A2356" w:rsidRDefault="00EB07DB" w:rsidP="008A2356">
      <w:pPr>
        <w:autoSpaceDE w:val="0"/>
        <w:autoSpaceDN w:val="0"/>
        <w:adjustRightInd w:val="0"/>
        <w:ind w:left="360"/>
      </w:pPr>
      <w:r w:rsidRPr="00EB07DB">
        <w:rPr>
          <w:noProof/>
        </w:rPr>
        <w:drawing>
          <wp:inline distT="0" distB="0" distL="0" distR="0">
            <wp:extent cx="5486400" cy="334391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486400" cy="3343910"/>
                    </a:xfrm>
                    <a:prstGeom prst="rect">
                      <a:avLst/>
                    </a:prstGeom>
                  </pic:spPr>
                </pic:pic>
              </a:graphicData>
            </a:graphic>
          </wp:inline>
        </w:drawing>
      </w:r>
    </w:p>
    <w:p w:rsidR="000B1501" w:rsidRDefault="000B1501" w:rsidP="008A2356">
      <w:pPr>
        <w:autoSpaceDE w:val="0"/>
        <w:autoSpaceDN w:val="0"/>
        <w:adjustRightInd w:val="0"/>
        <w:ind w:left="360"/>
      </w:pPr>
    </w:p>
    <w:p w:rsidR="000B1501" w:rsidRDefault="0004538B" w:rsidP="000B1501">
      <w:pPr>
        <w:numPr>
          <w:ilvl w:val="0"/>
          <w:numId w:val="3"/>
        </w:numPr>
        <w:autoSpaceDE w:val="0"/>
        <w:autoSpaceDN w:val="0"/>
        <w:adjustRightInd w:val="0"/>
      </w:pPr>
      <w:r>
        <w:br w:type="page"/>
      </w:r>
      <w:r w:rsidR="000B1501">
        <w:lastRenderedPageBreak/>
        <w:t xml:space="preserve">What supply chain network configuration do you recommend for the long term if the Northeast and Southeast demand is expected to increase by 30 percent while all other demands remain as in Table 5-16? </w:t>
      </w:r>
      <w:r w:rsidR="00EA4031">
        <w:t xml:space="preserve">Should any warehouses be closed? </w:t>
      </w:r>
      <w:r w:rsidR="000B1501">
        <w:t>Should any warehouses see their capacity doubled?</w:t>
      </w:r>
    </w:p>
    <w:p w:rsidR="000B1501" w:rsidRDefault="000B1501" w:rsidP="000B1501">
      <w:pPr>
        <w:autoSpaceDE w:val="0"/>
        <w:autoSpaceDN w:val="0"/>
        <w:adjustRightInd w:val="0"/>
        <w:ind w:left="360"/>
      </w:pPr>
    </w:p>
    <w:p w:rsidR="000B1501" w:rsidRDefault="000B1501" w:rsidP="000B1501">
      <w:pPr>
        <w:autoSpaceDE w:val="0"/>
        <w:autoSpaceDN w:val="0"/>
        <w:adjustRightInd w:val="0"/>
        <w:ind w:left="360"/>
      </w:pPr>
      <w:r>
        <w:t xml:space="preserve">It is optimal to close Toulouse and </w:t>
      </w:r>
      <w:r w:rsidR="00EA4031">
        <w:t>Munich</w:t>
      </w:r>
      <w:r>
        <w:t xml:space="preserve"> and double the capacity of Rotterdam in this case (see worksheet </w:t>
      </w:r>
      <w:r>
        <w:rPr>
          <w:i/>
        </w:rPr>
        <w:t>Change capacity</w:t>
      </w:r>
      <w:r w:rsidR="00EA4031">
        <w:rPr>
          <w:i/>
        </w:rPr>
        <w:t>—</w:t>
      </w:r>
      <w:r>
        <w:rPr>
          <w:i/>
        </w:rPr>
        <w:t>high demand</w:t>
      </w:r>
      <w:r>
        <w:t>)</w:t>
      </w:r>
    </w:p>
    <w:p w:rsidR="000B1501" w:rsidRDefault="000B1501" w:rsidP="000B1501">
      <w:pPr>
        <w:autoSpaceDE w:val="0"/>
        <w:autoSpaceDN w:val="0"/>
        <w:adjustRightInd w:val="0"/>
        <w:ind w:left="360"/>
      </w:pPr>
    </w:p>
    <w:p w:rsidR="000B1501" w:rsidRPr="000B1501" w:rsidRDefault="008A3CD8" w:rsidP="000B1501">
      <w:pPr>
        <w:autoSpaceDE w:val="0"/>
        <w:autoSpaceDN w:val="0"/>
        <w:adjustRightInd w:val="0"/>
        <w:ind w:left="360"/>
      </w:pPr>
      <w:r w:rsidRPr="008A3CD8">
        <w:rPr>
          <w:noProof/>
        </w:rPr>
        <w:drawing>
          <wp:inline distT="0" distB="0" distL="0" distR="0">
            <wp:extent cx="5486400" cy="33439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5486400" cy="3343910"/>
                    </a:xfrm>
                    <a:prstGeom prst="rect">
                      <a:avLst/>
                    </a:prstGeom>
                  </pic:spPr>
                </pic:pic>
              </a:graphicData>
            </a:graphic>
          </wp:inline>
        </w:drawing>
      </w:r>
    </w:p>
    <w:sectPr w:rsidR="000B1501" w:rsidRPr="000B1501" w:rsidSect="006E5053">
      <w:footerReference w:type="default" r:id="rId11"/>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87A44" w:rsidRDefault="00587A44">
      <w:r>
        <w:separator/>
      </w:r>
    </w:p>
  </w:endnote>
  <w:endnote w:type="continuationSeparator" w:id="0">
    <w:p w:rsidR="00587A44" w:rsidRDefault="00587A4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7F4B" w:rsidRDefault="00457F4B" w:rsidP="00457F4B">
    <w:pPr>
      <w:pStyle w:val="Footer"/>
      <w:tabs>
        <w:tab w:val="left" w:pos="6090"/>
      </w:tabs>
    </w:pPr>
    <w:r>
      <w:t>Copyright © 2019 Pearson Education, Inc.</w:t>
    </w:r>
    <w:r>
      <w:tab/>
    </w:r>
    <w:r>
      <w:tab/>
    </w:r>
    <w:r>
      <w:tab/>
    </w:r>
    <w:r>
      <w:rPr>
        <w:noProof/>
      </w:rPr>
      <w:drawing>
        <wp:inline distT="0" distB="0" distL="0" distR="0" wp14:anchorId="06A848AC" wp14:editId="00F89C45">
          <wp:extent cx="647700" cy="457200"/>
          <wp:effectExtent l="0" t="0" r="0" b="0"/>
          <wp:docPr id="7" name="Picture 7"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47700" cy="457200"/>
                  </a:xfrm>
                  <a:prstGeom prst="rect">
                    <a:avLst/>
                  </a:prstGeom>
                  <a:noFill/>
                  <a:ln>
                    <a:noFill/>
                  </a:ln>
                </pic:spPr>
              </pic:pic>
            </a:graphicData>
          </a:graphic>
        </wp:inline>
      </w:drawing>
    </w:r>
  </w:p>
  <w:p w:rsidR="00AB4976" w:rsidRDefault="00AB4976">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87A44" w:rsidRDefault="00587A44">
      <w:r>
        <w:separator/>
      </w:r>
    </w:p>
  </w:footnote>
  <w:footnote w:type="continuationSeparator" w:id="0">
    <w:p w:rsidR="00587A44" w:rsidRDefault="00587A4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5175922"/>
    <w:multiLevelType w:val="hybridMultilevel"/>
    <w:tmpl w:val="8E4447E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2B9B2575"/>
    <w:multiLevelType w:val="hybridMultilevel"/>
    <w:tmpl w:val="68E6CD5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3902461C"/>
    <w:multiLevelType w:val="hybridMultilevel"/>
    <w:tmpl w:val="3B1896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characterSpacingControl w:val="doNotCompress"/>
  <w:hdrShapeDefaults>
    <o:shapedefaults v:ext="edit" spidmax="2049"/>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130FA3"/>
    <w:rsid w:val="00017FF9"/>
    <w:rsid w:val="00041824"/>
    <w:rsid w:val="0004538B"/>
    <w:rsid w:val="00090E1B"/>
    <w:rsid w:val="000B1501"/>
    <w:rsid w:val="00103311"/>
    <w:rsid w:val="00130FA3"/>
    <w:rsid w:val="0027009B"/>
    <w:rsid w:val="002F418B"/>
    <w:rsid w:val="0036497B"/>
    <w:rsid w:val="00385AFC"/>
    <w:rsid w:val="004223E0"/>
    <w:rsid w:val="004456F0"/>
    <w:rsid w:val="00457F4B"/>
    <w:rsid w:val="0052185E"/>
    <w:rsid w:val="00546D95"/>
    <w:rsid w:val="00587A44"/>
    <w:rsid w:val="0068256A"/>
    <w:rsid w:val="006A131F"/>
    <w:rsid w:val="006E5053"/>
    <w:rsid w:val="00715420"/>
    <w:rsid w:val="0072563E"/>
    <w:rsid w:val="007A3829"/>
    <w:rsid w:val="007C4E0C"/>
    <w:rsid w:val="007F0924"/>
    <w:rsid w:val="007F147A"/>
    <w:rsid w:val="007F2A85"/>
    <w:rsid w:val="00851359"/>
    <w:rsid w:val="008912DC"/>
    <w:rsid w:val="008A2356"/>
    <w:rsid w:val="008A3CD8"/>
    <w:rsid w:val="008A69CD"/>
    <w:rsid w:val="008E1040"/>
    <w:rsid w:val="008E1C42"/>
    <w:rsid w:val="00AB4976"/>
    <w:rsid w:val="00B216A6"/>
    <w:rsid w:val="00B71CD4"/>
    <w:rsid w:val="00B83FA7"/>
    <w:rsid w:val="00C33635"/>
    <w:rsid w:val="00C735BA"/>
    <w:rsid w:val="00D541A1"/>
    <w:rsid w:val="00D92214"/>
    <w:rsid w:val="00DB2051"/>
    <w:rsid w:val="00DD0B6B"/>
    <w:rsid w:val="00DF11EB"/>
    <w:rsid w:val="00E11178"/>
    <w:rsid w:val="00E120B2"/>
    <w:rsid w:val="00E56277"/>
    <w:rsid w:val="00E74F4E"/>
    <w:rsid w:val="00EA4031"/>
    <w:rsid w:val="00EB07DB"/>
    <w:rsid w:val="00F37198"/>
    <w:rsid w:val="00F7148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FD494B0"/>
  <w15:docId w15:val="{1BD04BA6-4443-410D-9020-5708B22C79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E5053"/>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130F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7A3829"/>
    <w:pPr>
      <w:tabs>
        <w:tab w:val="center" w:pos="4320"/>
        <w:tab w:val="right" w:pos="8640"/>
      </w:tabs>
    </w:pPr>
  </w:style>
  <w:style w:type="paragraph" w:styleId="Footer">
    <w:name w:val="footer"/>
    <w:basedOn w:val="Normal"/>
    <w:rsid w:val="007A3829"/>
    <w:pPr>
      <w:tabs>
        <w:tab w:val="center" w:pos="4320"/>
        <w:tab w:val="right" w:pos="8640"/>
      </w:tabs>
    </w:pPr>
  </w:style>
  <w:style w:type="character" w:styleId="CommentReference">
    <w:name w:val="annotation reference"/>
    <w:basedOn w:val="DefaultParagraphFont"/>
    <w:uiPriority w:val="99"/>
    <w:semiHidden/>
    <w:unhideWhenUsed/>
    <w:rsid w:val="00E56277"/>
    <w:rPr>
      <w:sz w:val="16"/>
      <w:szCs w:val="16"/>
    </w:rPr>
  </w:style>
  <w:style w:type="paragraph" w:styleId="CommentText">
    <w:name w:val="annotation text"/>
    <w:basedOn w:val="Normal"/>
    <w:link w:val="CommentTextChar"/>
    <w:uiPriority w:val="99"/>
    <w:semiHidden/>
    <w:unhideWhenUsed/>
    <w:rsid w:val="00E56277"/>
    <w:rPr>
      <w:sz w:val="20"/>
      <w:szCs w:val="20"/>
    </w:rPr>
  </w:style>
  <w:style w:type="character" w:customStyle="1" w:styleId="CommentTextChar">
    <w:name w:val="Comment Text Char"/>
    <w:basedOn w:val="DefaultParagraphFont"/>
    <w:link w:val="CommentText"/>
    <w:uiPriority w:val="99"/>
    <w:semiHidden/>
    <w:rsid w:val="00E56277"/>
  </w:style>
  <w:style w:type="paragraph" w:styleId="CommentSubject">
    <w:name w:val="annotation subject"/>
    <w:basedOn w:val="CommentText"/>
    <w:next w:val="CommentText"/>
    <w:link w:val="CommentSubjectChar"/>
    <w:uiPriority w:val="99"/>
    <w:semiHidden/>
    <w:unhideWhenUsed/>
    <w:rsid w:val="00E56277"/>
    <w:rPr>
      <w:b/>
      <w:bCs/>
    </w:rPr>
  </w:style>
  <w:style w:type="character" w:customStyle="1" w:styleId="CommentSubjectChar">
    <w:name w:val="Comment Subject Char"/>
    <w:basedOn w:val="CommentTextChar"/>
    <w:link w:val="CommentSubject"/>
    <w:uiPriority w:val="99"/>
    <w:semiHidden/>
    <w:rsid w:val="00E56277"/>
    <w:rPr>
      <w:b/>
      <w:bCs/>
    </w:rPr>
  </w:style>
  <w:style w:type="paragraph" w:styleId="BalloonText">
    <w:name w:val="Balloon Text"/>
    <w:basedOn w:val="Normal"/>
    <w:link w:val="BalloonTextChar"/>
    <w:uiPriority w:val="99"/>
    <w:semiHidden/>
    <w:unhideWhenUsed/>
    <w:rsid w:val="00E56277"/>
    <w:rPr>
      <w:rFonts w:ascii="Tahoma" w:hAnsi="Tahoma" w:cs="Tahoma"/>
      <w:sz w:val="16"/>
      <w:szCs w:val="16"/>
    </w:rPr>
  </w:style>
  <w:style w:type="character" w:customStyle="1" w:styleId="BalloonTextChar">
    <w:name w:val="Balloon Text Char"/>
    <w:basedOn w:val="DefaultParagraphFont"/>
    <w:link w:val="BalloonText"/>
    <w:uiPriority w:val="99"/>
    <w:semiHidden/>
    <w:rsid w:val="00E56277"/>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77690">
      <w:bodyDiv w:val="1"/>
      <w:marLeft w:val="0"/>
      <w:marRight w:val="0"/>
      <w:marTop w:val="0"/>
      <w:marBottom w:val="0"/>
      <w:divBdr>
        <w:top w:val="none" w:sz="0" w:space="0" w:color="auto"/>
        <w:left w:val="none" w:sz="0" w:space="0" w:color="auto"/>
        <w:bottom w:val="none" w:sz="0" w:space="0" w:color="auto"/>
        <w:right w:val="none" w:sz="0" w:space="0" w:color="auto"/>
      </w:divBdr>
    </w:div>
    <w:div w:id="18354804">
      <w:bodyDiv w:val="1"/>
      <w:marLeft w:val="0"/>
      <w:marRight w:val="0"/>
      <w:marTop w:val="0"/>
      <w:marBottom w:val="0"/>
      <w:divBdr>
        <w:top w:val="none" w:sz="0" w:space="0" w:color="auto"/>
        <w:left w:val="none" w:sz="0" w:space="0" w:color="auto"/>
        <w:bottom w:val="none" w:sz="0" w:space="0" w:color="auto"/>
        <w:right w:val="none" w:sz="0" w:space="0" w:color="auto"/>
      </w:divBdr>
    </w:div>
    <w:div w:id="20741535">
      <w:bodyDiv w:val="1"/>
      <w:marLeft w:val="0"/>
      <w:marRight w:val="0"/>
      <w:marTop w:val="0"/>
      <w:marBottom w:val="0"/>
      <w:divBdr>
        <w:top w:val="none" w:sz="0" w:space="0" w:color="auto"/>
        <w:left w:val="none" w:sz="0" w:space="0" w:color="auto"/>
        <w:bottom w:val="none" w:sz="0" w:space="0" w:color="auto"/>
        <w:right w:val="none" w:sz="0" w:space="0" w:color="auto"/>
      </w:divBdr>
    </w:div>
    <w:div w:id="57369130">
      <w:bodyDiv w:val="1"/>
      <w:marLeft w:val="0"/>
      <w:marRight w:val="0"/>
      <w:marTop w:val="0"/>
      <w:marBottom w:val="0"/>
      <w:divBdr>
        <w:top w:val="none" w:sz="0" w:space="0" w:color="auto"/>
        <w:left w:val="none" w:sz="0" w:space="0" w:color="auto"/>
        <w:bottom w:val="none" w:sz="0" w:space="0" w:color="auto"/>
        <w:right w:val="none" w:sz="0" w:space="0" w:color="auto"/>
      </w:divBdr>
    </w:div>
    <w:div w:id="330180767">
      <w:bodyDiv w:val="1"/>
      <w:marLeft w:val="0"/>
      <w:marRight w:val="0"/>
      <w:marTop w:val="0"/>
      <w:marBottom w:val="0"/>
      <w:divBdr>
        <w:top w:val="none" w:sz="0" w:space="0" w:color="auto"/>
        <w:left w:val="none" w:sz="0" w:space="0" w:color="auto"/>
        <w:bottom w:val="none" w:sz="0" w:space="0" w:color="auto"/>
        <w:right w:val="none" w:sz="0" w:space="0" w:color="auto"/>
      </w:divBdr>
    </w:div>
    <w:div w:id="385034974">
      <w:bodyDiv w:val="1"/>
      <w:marLeft w:val="0"/>
      <w:marRight w:val="0"/>
      <w:marTop w:val="0"/>
      <w:marBottom w:val="0"/>
      <w:divBdr>
        <w:top w:val="none" w:sz="0" w:space="0" w:color="auto"/>
        <w:left w:val="none" w:sz="0" w:space="0" w:color="auto"/>
        <w:bottom w:val="none" w:sz="0" w:space="0" w:color="auto"/>
        <w:right w:val="none" w:sz="0" w:space="0" w:color="auto"/>
      </w:divBdr>
    </w:div>
    <w:div w:id="551233295">
      <w:bodyDiv w:val="1"/>
      <w:marLeft w:val="0"/>
      <w:marRight w:val="0"/>
      <w:marTop w:val="0"/>
      <w:marBottom w:val="0"/>
      <w:divBdr>
        <w:top w:val="none" w:sz="0" w:space="0" w:color="auto"/>
        <w:left w:val="none" w:sz="0" w:space="0" w:color="auto"/>
        <w:bottom w:val="none" w:sz="0" w:space="0" w:color="auto"/>
        <w:right w:val="none" w:sz="0" w:space="0" w:color="auto"/>
      </w:divBdr>
    </w:div>
    <w:div w:id="560140431">
      <w:bodyDiv w:val="1"/>
      <w:marLeft w:val="0"/>
      <w:marRight w:val="0"/>
      <w:marTop w:val="0"/>
      <w:marBottom w:val="0"/>
      <w:divBdr>
        <w:top w:val="none" w:sz="0" w:space="0" w:color="auto"/>
        <w:left w:val="none" w:sz="0" w:space="0" w:color="auto"/>
        <w:bottom w:val="none" w:sz="0" w:space="0" w:color="auto"/>
        <w:right w:val="none" w:sz="0" w:space="0" w:color="auto"/>
      </w:divBdr>
    </w:div>
    <w:div w:id="690573045">
      <w:bodyDiv w:val="1"/>
      <w:marLeft w:val="0"/>
      <w:marRight w:val="0"/>
      <w:marTop w:val="0"/>
      <w:marBottom w:val="0"/>
      <w:divBdr>
        <w:top w:val="none" w:sz="0" w:space="0" w:color="auto"/>
        <w:left w:val="none" w:sz="0" w:space="0" w:color="auto"/>
        <w:bottom w:val="none" w:sz="0" w:space="0" w:color="auto"/>
        <w:right w:val="none" w:sz="0" w:space="0" w:color="auto"/>
      </w:divBdr>
    </w:div>
    <w:div w:id="766122359">
      <w:bodyDiv w:val="1"/>
      <w:marLeft w:val="0"/>
      <w:marRight w:val="0"/>
      <w:marTop w:val="0"/>
      <w:marBottom w:val="0"/>
      <w:divBdr>
        <w:top w:val="none" w:sz="0" w:space="0" w:color="auto"/>
        <w:left w:val="none" w:sz="0" w:space="0" w:color="auto"/>
        <w:bottom w:val="none" w:sz="0" w:space="0" w:color="auto"/>
        <w:right w:val="none" w:sz="0" w:space="0" w:color="auto"/>
      </w:divBdr>
    </w:div>
    <w:div w:id="792558284">
      <w:bodyDiv w:val="1"/>
      <w:marLeft w:val="0"/>
      <w:marRight w:val="0"/>
      <w:marTop w:val="0"/>
      <w:marBottom w:val="0"/>
      <w:divBdr>
        <w:top w:val="none" w:sz="0" w:space="0" w:color="auto"/>
        <w:left w:val="none" w:sz="0" w:space="0" w:color="auto"/>
        <w:bottom w:val="none" w:sz="0" w:space="0" w:color="auto"/>
        <w:right w:val="none" w:sz="0" w:space="0" w:color="auto"/>
      </w:divBdr>
    </w:div>
    <w:div w:id="946078736">
      <w:bodyDiv w:val="1"/>
      <w:marLeft w:val="0"/>
      <w:marRight w:val="0"/>
      <w:marTop w:val="0"/>
      <w:marBottom w:val="0"/>
      <w:divBdr>
        <w:top w:val="none" w:sz="0" w:space="0" w:color="auto"/>
        <w:left w:val="none" w:sz="0" w:space="0" w:color="auto"/>
        <w:bottom w:val="none" w:sz="0" w:space="0" w:color="auto"/>
        <w:right w:val="none" w:sz="0" w:space="0" w:color="auto"/>
      </w:divBdr>
    </w:div>
    <w:div w:id="1130977877">
      <w:bodyDiv w:val="1"/>
      <w:marLeft w:val="0"/>
      <w:marRight w:val="0"/>
      <w:marTop w:val="0"/>
      <w:marBottom w:val="0"/>
      <w:divBdr>
        <w:top w:val="none" w:sz="0" w:space="0" w:color="auto"/>
        <w:left w:val="none" w:sz="0" w:space="0" w:color="auto"/>
        <w:bottom w:val="none" w:sz="0" w:space="0" w:color="auto"/>
        <w:right w:val="none" w:sz="0" w:space="0" w:color="auto"/>
      </w:divBdr>
    </w:div>
    <w:div w:id="1176728067">
      <w:bodyDiv w:val="1"/>
      <w:marLeft w:val="0"/>
      <w:marRight w:val="0"/>
      <w:marTop w:val="0"/>
      <w:marBottom w:val="0"/>
      <w:divBdr>
        <w:top w:val="none" w:sz="0" w:space="0" w:color="auto"/>
        <w:left w:val="none" w:sz="0" w:space="0" w:color="auto"/>
        <w:bottom w:val="none" w:sz="0" w:space="0" w:color="auto"/>
        <w:right w:val="none" w:sz="0" w:space="0" w:color="auto"/>
      </w:divBdr>
    </w:div>
    <w:div w:id="1258246668">
      <w:bodyDiv w:val="1"/>
      <w:marLeft w:val="0"/>
      <w:marRight w:val="0"/>
      <w:marTop w:val="0"/>
      <w:marBottom w:val="0"/>
      <w:divBdr>
        <w:top w:val="none" w:sz="0" w:space="0" w:color="auto"/>
        <w:left w:val="none" w:sz="0" w:space="0" w:color="auto"/>
        <w:bottom w:val="none" w:sz="0" w:space="0" w:color="auto"/>
        <w:right w:val="none" w:sz="0" w:space="0" w:color="auto"/>
      </w:divBdr>
    </w:div>
    <w:div w:id="17277548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_rels/footer1.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39</TotalTime>
  <Pages>4</Pages>
  <Words>209</Words>
  <Characters>1192</Characters>
  <Application>Microsoft Office Word</Application>
  <DocSecurity>0</DocSecurity>
  <Lines>9</Lines>
  <Paragraphs>2</Paragraphs>
  <ScaleCrop>false</ScaleCrop>
  <HeadingPairs>
    <vt:vector size="2" baseType="variant">
      <vt:variant>
        <vt:lpstr>Title</vt:lpstr>
      </vt:variant>
      <vt:variant>
        <vt:i4>1</vt:i4>
      </vt:variant>
    </vt:vector>
  </HeadingPairs>
  <TitlesOfParts>
    <vt:vector size="1" baseType="lpstr">
      <vt:lpstr>Supply Chain Management - 5th edition</vt:lpstr>
    </vt:vector>
  </TitlesOfParts>
  <Company>College of Business</Company>
  <LinksUpToDate>false</LinksUpToDate>
  <CharactersWithSpaces>1399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- 5th edition</dc:title>
  <dc:subject>Chapter 5 SportStuff case study answers</dc:subject>
  <dc:creator>Jay Mabe</dc:creator>
  <cp:lastModifiedBy>Mirano, Ronel</cp:lastModifiedBy>
  <cp:revision>14</cp:revision>
  <dcterms:created xsi:type="dcterms:W3CDTF">2017-08-11T19:42:00Z</dcterms:created>
  <dcterms:modified xsi:type="dcterms:W3CDTF">2017-10-23T08:27:00Z</dcterms:modified>
</cp:coreProperties>
</file>